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FD3A2" w14:textId="77777777" w:rsidR="00312B60" w:rsidRPr="002E6E86" w:rsidRDefault="00312B60" w:rsidP="002E6E86">
      <w:pPr>
        <w:pStyle w:val="Balk1"/>
        <w:spacing w:after="0" w:line="360" w:lineRule="auto"/>
        <w:ind w:left="-567" w:right="-284"/>
        <w:jc w:val="both"/>
        <w:rPr>
          <w:b w:val="0"/>
          <w:sz w:val="22"/>
          <w:szCs w:val="22"/>
        </w:rPr>
      </w:pPr>
      <w:r w:rsidRPr="002E6E86">
        <w:rPr>
          <w:sz w:val="22"/>
          <w:szCs w:val="22"/>
        </w:rPr>
        <w:t xml:space="preserve">1. </w:t>
      </w:r>
      <w:proofErr w:type="gramStart"/>
      <w:r w:rsidRPr="002E6E86">
        <w:rPr>
          <w:sz w:val="22"/>
          <w:szCs w:val="22"/>
        </w:rPr>
        <w:t>AMAÇ :</w:t>
      </w:r>
      <w:proofErr w:type="gramEnd"/>
      <w:r w:rsidRPr="002E6E86">
        <w:rPr>
          <w:sz w:val="22"/>
          <w:szCs w:val="22"/>
        </w:rPr>
        <w:t xml:space="preserve"> </w:t>
      </w:r>
      <w:r w:rsidRPr="002E6E86">
        <w:rPr>
          <w:b w:val="0"/>
          <w:sz w:val="22"/>
          <w:szCs w:val="22"/>
        </w:rPr>
        <w:t>Bu prosedürün amacı, saptanmış veya potansiyel uygunsuzlukların tespiti ve bunların ortadan kaldırılarak</w:t>
      </w:r>
      <w:r w:rsidR="00E50661">
        <w:rPr>
          <w:b w:val="0"/>
          <w:sz w:val="22"/>
          <w:szCs w:val="22"/>
        </w:rPr>
        <w:t xml:space="preserve"> entegre</w:t>
      </w:r>
      <w:r w:rsidRPr="002E6E86">
        <w:rPr>
          <w:b w:val="0"/>
          <w:sz w:val="22"/>
          <w:szCs w:val="22"/>
        </w:rPr>
        <w:t xml:space="preserve"> yönetim sisteminin sürekli olarak iyileştirilmesi için yöntem ve sorumlulukları belirlemektir.</w:t>
      </w:r>
    </w:p>
    <w:p w14:paraId="2766A706" w14:textId="4128D1E2" w:rsidR="00312B60" w:rsidRPr="002E6E86" w:rsidRDefault="00312B60" w:rsidP="002E6E86">
      <w:pPr>
        <w:pStyle w:val="Balk1"/>
        <w:spacing w:after="0" w:line="360" w:lineRule="auto"/>
        <w:ind w:left="-567" w:right="-284"/>
        <w:jc w:val="both"/>
        <w:rPr>
          <w:b w:val="0"/>
          <w:sz w:val="22"/>
          <w:szCs w:val="22"/>
        </w:rPr>
      </w:pPr>
      <w:r w:rsidRPr="002E6E86">
        <w:rPr>
          <w:sz w:val="22"/>
          <w:szCs w:val="22"/>
        </w:rPr>
        <w:t xml:space="preserve">2. </w:t>
      </w:r>
      <w:proofErr w:type="gramStart"/>
      <w:r w:rsidRPr="002E6E86">
        <w:rPr>
          <w:sz w:val="22"/>
          <w:szCs w:val="22"/>
        </w:rPr>
        <w:t>KAPSAM :</w:t>
      </w:r>
      <w:proofErr w:type="gramEnd"/>
      <w:r w:rsidRPr="002E6E86">
        <w:rPr>
          <w:sz w:val="22"/>
          <w:szCs w:val="22"/>
        </w:rPr>
        <w:t xml:space="preserve"> </w:t>
      </w:r>
      <w:r w:rsidRPr="002E6E86">
        <w:rPr>
          <w:b w:val="0"/>
          <w:sz w:val="22"/>
          <w:szCs w:val="22"/>
        </w:rPr>
        <w:t xml:space="preserve">Bu prosedür, </w:t>
      </w:r>
      <w:r w:rsidR="00021439">
        <w:rPr>
          <w:b w:val="0"/>
          <w:sz w:val="22"/>
          <w:szCs w:val="22"/>
        </w:rPr>
        <w:t>Selçuk</w:t>
      </w:r>
      <w:r w:rsidRPr="002E6E86">
        <w:rPr>
          <w:b w:val="0"/>
          <w:sz w:val="22"/>
          <w:szCs w:val="22"/>
        </w:rPr>
        <w:t xml:space="preserve"> Üniversitesinin tüm birimlerindeki her türlü uygunsuzluğu ve buna bağlı geliştirilen düzeltici faaliyeti kapsar.</w:t>
      </w:r>
    </w:p>
    <w:p w14:paraId="28225B5C" w14:textId="77777777" w:rsidR="00312B60" w:rsidRPr="002E6E86" w:rsidRDefault="00312B60" w:rsidP="002E6E86">
      <w:pPr>
        <w:pStyle w:val="Balk1"/>
        <w:spacing w:after="0" w:line="360" w:lineRule="auto"/>
        <w:ind w:left="-567" w:right="-284"/>
        <w:jc w:val="both"/>
        <w:rPr>
          <w:sz w:val="22"/>
          <w:szCs w:val="22"/>
        </w:rPr>
      </w:pPr>
      <w:r w:rsidRPr="002E6E86">
        <w:rPr>
          <w:sz w:val="22"/>
          <w:szCs w:val="22"/>
        </w:rPr>
        <w:t>3. TANIMLAR</w:t>
      </w:r>
    </w:p>
    <w:p w14:paraId="4917AB84" w14:textId="77777777" w:rsidR="00312B60" w:rsidRPr="002E6E86" w:rsidRDefault="0041316C" w:rsidP="002E6E86">
      <w:pPr>
        <w:pStyle w:val="GvdeMetni"/>
        <w:spacing w:line="360" w:lineRule="auto"/>
        <w:ind w:left="-567"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TSE </w:t>
      </w:r>
      <w:r w:rsidR="00312B60" w:rsidRPr="002E6E86">
        <w:rPr>
          <w:sz w:val="22"/>
          <w:szCs w:val="22"/>
        </w:rPr>
        <w:t>standardında belirlenen tanımlar geçerlidir.</w:t>
      </w:r>
    </w:p>
    <w:p w14:paraId="2C1BD1A7" w14:textId="77777777" w:rsidR="00312B60" w:rsidRPr="002E6E86" w:rsidRDefault="00312B60" w:rsidP="002E6E86">
      <w:pPr>
        <w:pStyle w:val="Balk1"/>
        <w:spacing w:after="0" w:line="360" w:lineRule="auto"/>
        <w:ind w:left="-567" w:right="-284"/>
        <w:jc w:val="both"/>
        <w:rPr>
          <w:sz w:val="22"/>
          <w:szCs w:val="22"/>
        </w:rPr>
      </w:pPr>
      <w:r w:rsidRPr="002E6E86">
        <w:rPr>
          <w:sz w:val="22"/>
          <w:szCs w:val="22"/>
        </w:rPr>
        <w:t>4. SORUMLULUKLAR</w:t>
      </w:r>
    </w:p>
    <w:p w14:paraId="4246C052" w14:textId="7E708981" w:rsidR="00312B60" w:rsidRPr="002E6E86" w:rsidRDefault="00312B60" w:rsidP="002E6E86">
      <w:pPr>
        <w:pStyle w:val="GvdeMetni"/>
        <w:spacing w:line="360" w:lineRule="auto"/>
        <w:ind w:left="-567" w:right="-284"/>
        <w:jc w:val="both"/>
        <w:rPr>
          <w:sz w:val="22"/>
          <w:szCs w:val="22"/>
        </w:rPr>
      </w:pPr>
      <w:r w:rsidRPr="002E6E86">
        <w:rPr>
          <w:sz w:val="22"/>
          <w:szCs w:val="22"/>
        </w:rPr>
        <w:t xml:space="preserve">Bu prosedürün hazırlanması ve yönetiminden Kurumsal Yetkili adına </w:t>
      </w:r>
      <w:r w:rsidR="00456870">
        <w:rPr>
          <w:sz w:val="22"/>
          <w:szCs w:val="22"/>
        </w:rPr>
        <w:t>EYB</w:t>
      </w:r>
      <w:r w:rsidRPr="002E6E86">
        <w:rPr>
          <w:sz w:val="22"/>
          <w:szCs w:val="22"/>
        </w:rPr>
        <w:t xml:space="preserve"> sorumludur. Prosedürün uygulanmasına yönelik sorumluluklar prosedürde belirtilmiştir.</w:t>
      </w:r>
    </w:p>
    <w:p w14:paraId="2F4CDCA9" w14:textId="77777777" w:rsidR="00312B60" w:rsidRPr="002E6E86" w:rsidRDefault="00312B60" w:rsidP="002E6E86">
      <w:pPr>
        <w:pStyle w:val="Balk1"/>
        <w:spacing w:after="0" w:line="360" w:lineRule="auto"/>
        <w:ind w:left="-567" w:right="-284"/>
        <w:jc w:val="both"/>
        <w:rPr>
          <w:sz w:val="22"/>
          <w:szCs w:val="22"/>
        </w:rPr>
      </w:pPr>
      <w:r w:rsidRPr="002E6E86">
        <w:rPr>
          <w:sz w:val="22"/>
          <w:szCs w:val="22"/>
        </w:rPr>
        <w:t>5. FAALİYET AKIŞI</w:t>
      </w:r>
    </w:p>
    <w:p w14:paraId="32BA1530" w14:textId="77777777" w:rsidR="00312B60" w:rsidRPr="002E6E86" w:rsidRDefault="00312B60" w:rsidP="002E6E86">
      <w:pPr>
        <w:pStyle w:val="Balk2"/>
        <w:spacing w:before="0" w:after="0" w:line="360" w:lineRule="auto"/>
        <w:ind w:left="-567" w:right="-284"/>
        <w:jc w:val="both"/>
        <w:rPr>
          <w:rFonts w:ascii="Times New Roman" w:hAnsi="Times New Roman"/>
          <w:i w:val="0"/>
          <w:sz w:val="22"/>
          <w:szCs w:val="22"/>
        </w:rPr>
      </w:pPr>
      <w:r w:rsidRPr="002E6E86">
        <w:rPr>
          <w:rFonts w:ascii="Times New Roman" w:hAnsi="Times New Roman"/>
          <w:i w:val="0"/>
          <w:sz w:val="22"/>
          <w:szCs w:val="22"/>
        </w:rPr>
        <w:t>5.1. Uygunsuzluk Kaynakları</w:t>
      </w:r>
    </w:p>
    <w:p w14:paraId="27CBAB74" w14:textId="4DB5371B" w:rsidR="00312B60" w:rsidRPr="002E6E86" w:rsidRDefault="002B402D" w:rsidP="002E6E86">
      <w:pPr>
        <w:spacing w:after="0" w:line="360" w:lineRule="auto"/>
        <w:ind w:left="-567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E50661">
        <w:rPr>
          <w:rFonts w:ascii="Times New Roman" w:hAnsi="Times New Roman"/>
        </w:rPr>
        <w:t>Ü-E</w:t>
      </w:r>
      <w:r w:rsidR="00312B60" w:rsidRPr="002E6E86">
        <w:rPr>
          <w:rFonts w:ascii="Times New Roman" w:hAnsi="Times New Roman"/>
        </w:rPr>
        <w:t xml:space="preserve">YS sürekli iyileştirme anlayışı ile uygunsuzlukları tespit ederek düzeltici faaliyetlerde bulunmayı ve böylece öğrenci ve ilgili tarafların memnuniyet düzeyini arttırmayı amaçlar. </w:t>
      </w:r>
      <w:r>
        <w:rPr>
          <w:rFonts w:ascii="Times New Roman" w:hAnsi="Times New Roman"/>
        </w:rPr>
        <w:t>S</w:t>
      </w:r>
      <w:r w:rsidR="00312B60" w:rsidRPr="002E6E86">
        <w:rPr>
          <w:rFonts w:ascii="Times New Roman" w:hAnsi="Times New Roman"/>
        </w:rPr>
        <w:t>Ü-</w:t>
      </w:r>
      <w:r w:rsidR="00E50661">
        <w:rPr>
          <w:rFonts w:ascii="Times New Roman" w:hAnsi="Times New Roman"/>
        </w:rPr>
        <w:t>E</w:t>
      </w:r>
      <w:r w:rsidR="00312B60" w:rsidRPr="002E6E86">
        <w:rPr>
          <w:rFonts w:ascii="Times New Roman" w:hAnsi="Times New Roman"/>
        </w:rPr>
        <w:t>YS gerekliliklerine uygun olmayan her durum bir uygunsuzluk olarak tanımlanır.</w:t>
      </w:r>
    </w:p>
    <w:p w14:paraId="4B7D52E3" w14:textId="77777777" w:rsidR="00312B60" w:rsidRPr="002E6E86" w:rsidRDefault="00312B60" w:rsidP="002E6E86">
      <w:pPr>
        <w:spacing w:after="0" w:line="360" w:lineRule="auto"/>
        <w:ind w:left="-567" w:right="-284"/>
        <w:jc w:val="both"/>
        <w:rPr>
          <w:rFonts w:ascii="Times New Roman" w:hAnsi="Times New Roman"/>
          <w:b/>
        </w:rPr>
      </w:pPr>
      <w:r w:rsidRPr="002E6E86">
        <w:rPr>
          <w:rFonts w:ascii="Times New Roman" w:hAnsi="Times New Roman"/>
          <w:b/>
        </w:rPr>
        <w:t>5.2. Uygunsuzluk ve Düzeltici Faaliyet Yönetimi</w:t>
      </w:r>
    </w:p>
    <w:p w14:paraId="21E1AED3" w14:textId="77777777" w:rsidR="00312B60" w:rsidRPr="002E6E86" w:rsidRDefault="00312B60" w:rsidP="002E6E86">
      <w:pPr>
        <w:spacing w:after="0" w:line="360" w:lineRule="auto"/>
        <w:ind w:left="-284" w:right="-284"/>
        <w:jc w:val="both"/>
        <w:rPr>
          <w:rFonts w:ascii="Times New Roman" w:hAnsi="Times New Roman"/>
          <w:b/>
        </w:rPr>
      </w:pPr>
      <w:r w:rsidRPr="002E6E86">
        <w:rPr>
          <w:rFonts w:ascii="Times New Roman" w:hAnsi="Times New Roman"/>
          <w:b/>
        </w:rPr>
        <w:t xml:space="preserve">5.2.1. Uygunsuzluk ve Düzeltici Faaliyet Talebi </w:t>
      </w:r>
    </w:p>
    <w:p w14:paraId="69FC9EC1" w14:textId="77777777" w:rsidR="00312B60" w:rsidRPr="002E6E86" w:rsidRDefault="00312B60" w:rsidP="002E6E86">
      <w:pPr>
        <w:spacing w:after="0" w:line="360" w:lineRule="auto"/>
        <w:ind w:left="-284" w:right="-284"/>
        <w:jc w:val="both"/>
        <w:rPr>
          <w:rFonts w:ascii="Times New Roman" w:hAnsi="Times New Roman"/>
        </w:rPr>
      </w:pPr>
      <w:r w:rsidRPr="002E6E86">
        <w:rPr>
          <w:rFonts w:ascii="Times New Roman" w:hAnsi="Times New Roman"/>
        </w:rPr>
        <w:t xml:space="preserve">Mevcut ya da potansiyel uygunsuzluklar tüm personel tarafından tespit edilebilir. Uygunsuzluğu tespit eden personel, Uygunsuzluk ve Düzeltici Faaliyet Formunu doldurarak </w:t>
      </w:r>
      <w:r w:rsidR="0041316C">
        <w:rPr>
          <w:rFonts w:ascii="Times New Roman" w:hAnsi="Times New Roman"/>
        </w:rPr>
        <w:t>ilgili birime</w:t>
      </w:r>
      <w:r w:rsidRPr="002E6E86">
        <w:rPr>
          <w:rFonts w:ascii="Times New Roman" w:hAnsi="Times New Roman"/>
        </w:rPr>
        <w:t xml:space="preserve"> iletir. </w:t>
      </w:r>
      <w:r w:rsidR="0041316C">
        <w:rPr>
          <w:rFonts w:ascii="Times New Roman" w:hAnsi="Times New Roman"/>
        </w:rPr>
        <w:t>İlgili birim</w:t>
      </w:r>
      <w:r w:rsidRPr="002E6E86">
        <w:rPr>
          <w:rFonts w:ascii="Times New Roman" w:hAnsi="Times New Roman"/>
        </w:rPr>
        <w:t xml:space="preserve">, gelen formu inceleyerek takip etmek üzere kaydeder. </w:t>
      </w:r>
    </w:p>
    <w:p w14:paraId="1B63449B" w14:textId="77777777" w:rsidR="00312B60" w:rsidRPr="002E6E86" w:rsidRDefault="00312B60" w:rsidP="002E6E86">
      <w:pPr>
        <w:spacing w:after="0" w:line="360" w:lineRule="auto"/>
        <w:ind w:left="-284" w:right="-284"/>
        <w:jc w:val="both"/>
        <w:rPr>
          <w:rFonts w:ascii="Times New Roman" w:hAnsi="Times New Roman"/>
          <w:b/>
        </w:rPr>
      </w:pPr>
      <w:r w:rsidRPr="002E6E86">
        <w:rPr>
          <w:rFonts w:ascii="Times New Roman" w:hAnsi="Times New Roman"/>
          <w:b/>
        </w:rPr>
        <w:t>5.2.2. Hakkında Uygunsuzluk ve Düzeltici Faaliyet Açılan Birim Tarafından Yapılacak İşlemler</w:t>
      </w:r>
    </w:p>
    <w:p w14:paraId="4A4BB6C4" w14:textId="4F42852C" w:rsidR="00312B60" w:rsidRPr="0026637B" w:rsidRDefault="0041316C" w:rsidP="00043DE2">
      <w:pPr>
        <w:spacing w:after="0" w:line="360" w:lineRule="auto"/>
        <w:ind w:left="-284" w:right="-284"/>
        <w:jc w:val="both"/>
        <w:rPr>
          <w:rFonts w:ascii="Times New Roman" w:hAnsi="Times New Roman"/>
        </w:rPr>
      </w:pPr>
      <w:r w:rsidRPr="0026637B">
        <w:rPr>
          <w:rFonts w:ascii="Times New Roman" w:hAnsi="Times New Roman"/>
        </w:rPr>
        <w:t>Yönetim sistemi sorumlusu</w:t>
      </w:r>
      <w:r w:rsidR="00312B60" w:rsidRPr="0026637B">
        <w:rPr>
          <w:rFonts w:ascii="Times New Roman" w:hAnsi="Times New Roman"/>
        </w:rPr>
        <w:t xml:space="preserve"> uygunsuzluğa yönelik düzeltici faaliyeti yapacak birimi ve termini belirleyerek ilgili birim yöneticisine ve/veya birim </w:t>
      </w:r>
      <w:r w:rsidRPr="0026637B">
        <w:rPr>
          <w:rFonts w:ascii="Times New Roman" w:hAnsi="Times New Roman"/>
        </w:rPr>
        <w:t>yönetim sistemi</w:t>
      </w:r>
      <w:r w:rsidR="00312B60" w:rsidRPr="0026637B">
        <w:rPr>
          <w:rFonts w:ascii="Times New Roman" w:hAnsi="Times New Roman"/>
        </w:rPr>
        <w:t xml:space="preserve"> temsilcisine onaylatır.</w:t>
      </w:r>
      <w:r w:rsidR="00043DE2" w:rsidRPr="0026637B">
        <w:rPr>
          <w:rFonts w:ascii="Times New Roman" w:hAnsi="Times New Roman"/>
        </w:rPr>
        <w:t xml:space="preserve"> </w:t>
      </w:r>
      <w:r w:rsidR="00312B60" w:rsidRPr="0026637B">
        <w:rPr>
          <w:rFonts w:ascii="Times New Roman" w:hAnsi="Times New Roman"/>
        </w:rPr>
        <w:t xml:space="preserve">Birim </w:t>
      </w:r>
      <w:r w:rsidR="00D11878">
        <w:rPr>
          <w:rFonts w:ascii="Times New Roman" w:hAnsi="Times New Roman"/>
        </w:rPr>
        <w:t>enerji verimliliği</w:t>
      </w:r>
      <w:r w:rsidRPr="0026637B">
        <w:rPr>
          <w:rFonts w:ascii="Times New Roman" w:hAnsi="Times New Roman"/>
        </w:rPr>
        <w:t xml:space="preserve"> sorumlusu</w:t>
      </w:r>
      <w:r w:rsidR="00312B60" w:rsidRPr="0026637B">
        <w:rPr>
          <w:rFonts w:ascii="Times New Roman" w:hAnsi="Times New Roman"/>
        </w:rPr>
        <w:t xml:space="preserve"> ve Birim </w:t>
      </w:r>
      <w:r w:rsidR="00D11878">
        <w:rPr>
          <w:rFonts w:ascii="Times New Roman" w:hAnsi="Times New Roman"/>
        </w:rPr>
        <w:t>E</w:t>
      </w:r>
      <w:r w:rsidR="00E50661" w:rsidRPr="0026637B">
        <w:rPr>
          <w:rFonts w:ascii="Times New Roman" w:hAnsi="Times New Roman"/>
        </w:rPr>
        <w:t>YS</w:t>
      </w:r>
      <w:r w:rsidR="00312B60" w:rsidRPr="0026637B">
        <w:rPr>
          <w:rFonts w:ascii="Times New Roman" w:hAnsi="Times New Roman"/>
        </w:rPr>
        <w:t xml:space="preserve"> Temsilcisi, kendilerine bildirilen uygunsuzluğu inceler, gerekli gördüğü durumda acil geçici faaliyetleri başlatır (süreci durdurmak acil alınacak önlemlerden olabilir) ve durumu </w:t>
      </w:r>
      <w:proofErr w:type="spellStart"/>
      <w:r w:rsidR="00D11878">
        <w:rPr>
          <w:rFonts w:ascii="Times New Roman" w:hAnsi="Times New Roman"/>
        </w:rPr>
        <w:t>EYB’ne</w:t>
      </w:r>
      <w:proofErr w:type="spellEnd"/>
      <w:r w:rsidR="00312B60" w:rsidRPr="0026637B">
        <w:rPr>
          <w:rFonts w:ascii="Times New Roman" w:hAnsi="Times New Roman"/>
        </w:rPr>
        <w:t xml:space="preserve"> bildirir. </w:t>
      </w:r>
      <w:r w:rsidR="00D11878">
        <w:rPr>
          <w:rFonts w:ascii="Times New Roman" w:hAnsi="Times New Roman"/>
        </w:rPr>
        <w:t>EYB</w:t>
      </w:r>
      <w:r w:rsidR="00312B60" w:rsidRPr="0026637B">
        <w:rPr>
          <w:rFonts w:ascii="Times New Roman" w:hAnsi="Times New Roman"/>
        </w:rPr>
        <w:t xml:space="preserve"> başlatılan geçici faaliyetin o anda uygunsuzluğu durduracak nitelikte olmadığına karar verirse; ilgili geçici faaliyeti kabul etmeyebilir, yeni bir geçici faaliyet planlanması isteyebilir ya da geçici faaliyet önerebilir. </w:t>
      </w:r>
    </w:p>
    <w:p w14:paraId="55AF497B" w14:textId="77777777" w:rsidR="00312B60" w:rsidRPr="0026637B" w:rsidRDefault="00312B60" w:rsidP="002E6E86">
      <w:pPr>
        <w:spacing w:after="0" w:line="360" w:lineRule="auto"/>
        <w:ind w:left="-284" w:right="-284"/>
        <w:jc w:val="both"/>
        <w:rPr>
          <w:rFonts w:ascii="Times New Roman" w:hAnsi="Times New Roman"/>
        </w:rPr>
      </w:pPr>
    </w:p>
    <w:p w14:paraId="40A2CA14" w14:textId="14BAB497" w:rsidR="00312B60" w:rsidRPr="0026637B" w:rsidRDefault="00312B60" w:rsidP="002E6E86">
      <w:pPr>
        <w:spacing w:after="0" w:line="360" w:lineRule="auto"/>
        <w:ind w:left="-284" w:right="-284"/>
        <w:jc w:val="both"/>
        <w:rPr>
          <w:rFonts w:ascii="Times New Roman" w:hAnsi="Times New Roman"/>
        </w:rPr>
      </w:pPr>
      <w:r w:rsidRPr="0026637B">
        <w:rPr>
          <w:rFonts w:ascii="Times New Roman" w:hAnsi="Times New Roman"/>
        </w:rPr>
        <w:t xml:space="preserve">Birim </w:t>
      </w:r>
      <w:r w:rsidR="00ED471B">
        <w:rPr>
          <w:rFonts w:ascii="Times New Roman" w:hAnsi="Times New Roman"/>
        </w:rPr>
        <w:t>EYS</w:t>
      </w:r>
      <w:r w:rsidRPr="0026637B">
        <w:rPr>
          <w:rFonts w:ascii="Times New Roman" w:hAnsi="Times New Roman"/>
        </w:rPr>
        <w:t xml:space="preserve"> Temsilcisi, ikinci adım olarak, bildirilen uygunsuzluklar ile ilgili olarak en geç beş işgünü içinde kök neden analizi</w:t>
      </w:r>
      <w:r w:rsidRPr="0026637B">
        <w:rPr>
          <w:rStyle w:val="DipnotBavurusu"/>
          <w:rFonts w:ascii="Times New Roman" w:hAnsi="Times New Roman"/>
        </w:rPr>
        <w:footnoteReference w:id="1"/>
      </w:r>
      <w:r w:rsidRPr="0026637B">
        <w:rPr>
          <w:rFonts w:ascii="Times New Roman" w:hAnsi="Times New Roman"/>
        </w:rPr>
        <w:t xml:space="preserve"> çalışmasını yapar/yaptırır ve çıkan kök neden ile ilgili kalıcı </w:t>
      </w:r>
      <w:proofErr w:type="gramStart"/>
      <w:r w:rsidRPr="0026637B">
        <w:rPr>
          <w:rFonts w:ascii="Times New Roman" w:hAnsi="Times New Roman"/>
        </w:rPr>
        <w:t>faaliyet(</w:t>
      </w:r>
      <w:proofErr w:type="spellStart"/>
      <w:proofErr w:type="gramEnd"/>
      <w:r w:rsidRPr="0026637B">
        <w:rPr>
          <w:rFonts w:ascii="Times New Roman" w:hAnsi="Times New Roman"/>
        </w:rPr>
        <w:t>ler</w:t>
      </w:r>
      <w:proofErr w:type="spellEnd"/>
      <w:r w:rsidRPr="0026637B">
        <w:rPr>
          <w:rFonts w:ascii="Times New Roman" w:hAnsi="Times New Roman"/>
        </w:rPr>
        <w:t xml:space="preserve">)i, faaliyetin sorumlusunu ve faaliyet için öngörülen termini belirleyerek Formu, </w:t>
      </w:r>
      <w:proofErr w:type="spellStart"/>
      <w:r w:rsidR="00ED471B">
        <w:rPr>
          <w:rFonts w:ascii="Times New Roman" w:hAnsi="Times New Roman"/>
        </w:rPr>
        <w:t>EYB’ne</w:t>
      </w:r>
      <w:proofErr w:type="spellEnd"/>
      <w:r w:rsidRPr="0026637B">
        <w:rPr>
          <w:rFonts w:ascii="Times New Roman" w:hAnsi="Times New Roman"/>
        </w:rPr>
        <w:t xml:space="preserve"> iletir. Termine, faaliyetin tamamlanması için öngörülen tarih gün/ay/yıl olarak yazılır.</w:t>
      </w:r>
    </w:p>
    <w:p w14:paraId="5FA785E3" w14:textId="77777777" w:rsidR="00312B60" w:rsidRPr="0026637B" w:rsidRDefault="00312B60" w:rsidP="002E6E86">
      <w:pPr>
        <w:spacing w:after="0" w:line="360" w:lineRule="auto"/>
        <w:ind w:left="-284" w:right="-284"/>
        <w:jc w:val="both"/>
        <w:rPr>
          <w:rFonts w:ascii="Times New Roman" w:hAnsi="Times New Roman"/>
        </w:rPr>
      </w:pPr>
    </w:p>
    <w:p w14:paraId="38C85046" w14:textId="7049594D" w:rsidR="00312B60" w:rsidRPr="002E6E86" w:rsidRDefault="001153D9" w:rsidP="002E6E86">
      <w:pPr>
        <w:spacing w:after="0" w:line="360" w:lineRule="auto"/>
        <w:ind w:left="-284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EYB</w:t>
      </w:r>
      <w:r w:rsidR="00312B60" w:rsidRPr="0026637B">
        <w:rPr>
          <w:rFonts w:ascii="Times New Roman" w:hAnsi="Times New Roman"/>
        </w:rPr>
        <w:t xml:space="preserve">, gelen Uygunsuzluk ve Düzeltici Faaliyet Formunda yazılı olan kök neden analizini ve alınacak kalıcı faaliyetlerin sisteme uyumunu inceler. Bu aşamada </w:t>
      </w:r>
      <w:r>
        <w:rPr>
          <w:rFonts w:ascii="Times New Roman" w:hAnsi="Times New Roman"/>
        </w:rPr>
        <w:t>EYB</w:t>
      </w:r>
      <w:r w:rsidR="00312B60" w:rsidRPr="0026637B">
        <w:rPr>
          <w:rFonts w:ascii="Times New Roman" w:hAnsi="Times New Roman"/>
        </w:rPr>
        <w:t xml:space="preserve">, ilgili kök nedenin ve/veya düzeltici faaliyetin uygunsuzluğun ortadan kaldırılmasına ya da iyileştirilmesine yönelik olmadığı kanaatine varırsa yeni bir kök neden ve/veya düzeltici faaliyet planlanması isteyebilir ya da önerebilir. Kök neden ve faaliyetlerin yer aldığı formlar uygun bulunduğu takdirde, asılları </w:t>
      </w:r>
      <w:proofErr w:type="spellStart"/>
      <w:r>
        <w:rPr>
          <w:rFonts w:ascii="Times New Roman" w:hAnsi="Times New Roman"/>
        </w:rPr>
        <w:t>EYB</w:t>
      </w:r>
      <w:r w:rsidR="00312B60" w:rsidRPr="0026637B">
        <w:rPr>
          <w:rFonts w:ascii="Times New Roman" w:hAnsi="Times New Roman"/>
        </w:rPr>
        <w:t>’</w:t>
      </w:r>
      <w:r>
        <w:rPr>
          <w:rFonts w:ascii="Times New Roman" w:hAnsi="Times New Roman"/>
        </w:rPr>
        <w:t>n</w:t>
      </w:r>
      <w:r w:rsidR="00312B60" w:rsidRPr="0026637B">
        <w:rPr>
          <w:rFonts w:ascii="Times New Roman" w:hAnsi="Times New Roman"/>
        </w:rPr>
        <w:t>de</w:t>
      </w:r>
      <w:proofErr w:type="spellEnd"/>
      <w:r w:rsidR="00312B60" w:rsidRPr="0026637B">
        <w:rPr>
          <w:rFonts w:ascii="Times New Roman" w:hAnsi="Times New Roman"/>
        </w:rPr>
        <w:t xml:space="preserve"> saklanır ve onaylanan formun elektronik kopyası ilgili kişi ya da </w:t>
      </w:r>
      <w:r w:rsidR="00E50661" w:rsidRPr="0026637B">
        <w:rPr>
          <w:rFonts w:ascii="Times New Roman" w:hAnsi="Times New Roman"/>
        </w:rPr>
        <w:t>B</w:t>
      </w:r>
      <w:r w:rsidR="00142DF7">
        <w:rPr>
          <w:rFonts w:ascii="Times New Roman" w:hAnsi="Times New Roman"/>
        </w:rPr>
        <w:t>irim E</w:t>
      </w:r>
      <w:r w:rsidR="00E50661" w:rsidRPr="0026637B">
        <w:rPr>
          <w:rFonts w:ascii="Times New Roman" w:hAnsi="Times New Roman"/>
        </w:rPr>
        <w:t xml:space="preserve">YS </w:t>
      </w:r>
      <w:r w:rsidR="00312B60" w:rsidRPr="0026637B">
        <w:rPr>
          <w:rFonts w:ascii="Times New Roman" w:hAnsi="Times New Roman"/>
        </w:rPr>
        <w:t>temsilcisine iletilir.</w:t>
      </w:r>
    </w:p>
    <w:p w14:paraId="77BC5C1A" w14:textId="77777777" w:rsidR="00312B60" w:rsidRPr="002E6E86" w:rsidRDefault="00312B60" w:rsidP="002E6E86">
      <w:pPr>
        <w:spacing w:after="0" w:line="360" w:lineRule="auto"/>
        <w:ind w:left="-284" w:right="-284"/>
        <w:jc w:val="both"/>
        <w:rPr>
          <w:rFonts w:ascii="Times New Roman" w:hAnsi="Times New Roman"/>
        </w:rPr>
      </w:pPr>
    </w:p>
    <w:p w14:paraId="10264703" w14:textId="77777777" w:rsidR="00312B60" w:rsidRPr="002E6E86" w:rsidRDefault="00312B60" w:rsidP="002E6E86">
      <w:pPr>
        <w:spacing w:after="0" w:line="360" w:lineRule="auto"/>
        <w:ind w:left="-284" w:right="-284"/>
        <w:jc w:val="both"/>
        <w:rPr>
          <w:rFonts w:ascii="Times New Roman" w:hAnsi="Times New Roman"/>
        </w:rPr>
      </w:pPr>
      <w:r w:rsidRPr="002E6E86">
        <w:rPr>
          <w:rFonts w:ascii="Times New Roman" w:hAnsi="Times New Roman"/>
          <w:b/>
        </w:rPr>
        <w:t>5.2.3. Uygunsuzluk ve Düzeltici Faaliyet Kapatılması</w:t>
      </w:r>
    </w:p>
    <w:p w14:paraId="277EF16B" w14:textId="77777777" w:rsidR="00312B60" w:rsidRPr="002E6E86" w:rsidRDefault="00312B60" w:rsidP="002E6E86">
      <w:pPr>
        <w:spacing w:after="0" w:line="360" w:lineRule="auto"/>
        <w:ind w:left="-284" w:right="-284"/>
        <w:jc w:val="both"/>
        <w:rPr>
          <w:rFonts w:ascii="Times New Roman" w:hAnsi="Times New Roman"/>
        </w:rPr>
      </w:pPr>
      <w:r w:rsidRPr="002E6E86">
        <w:rPr>
          <w:rFonts w:ascii="Times New Roman" w:hAnsi="Times New Roman"/>
        </w:rPr>
        <w:t xml:space="preserve">Uygunsuzluk ve düzeltici faaliyet yalnızca </w:t>
      </w:r>
      <w:proofErr w:type="gramStart"/>
      <w:r w:rsidRPr="002E6E86">
        <w:rPr>
          <w:rFonts w:ascii="Times New Roman" w:hAnsi="Times New Roman"/>
        </w:rPr>
        <w:t>dokümantasyona</w:t>
      </w:r>
      <w:proofErr w:type="gramEnd"/>
      <w:r w:rsidRPr="002E6E86">
        <w:rPr>
          <w:rFonts w:ascii="Times New Roman" w:hAnsi="Times New Roman"/>
        </w:rPr>
        <w:t xml:space="preserve"> aitse ilgili doküman görülür, onaylanır ve Uygunsuzluk ve Düzeltici Faaliyet işlemi kapatılır.</w:t>
      </w:r>
      <w:r w:rsidR="0041316C">
        <w:rPr>
          <w:rFonts w:ascii="Times New Roman" w:hAnsi="Times New Roman"/>
        </w:rPr>
        <w:t xml:space="preserve"> </w:t>
      </w:r>
      <w:r w:rsidRPr="002E6E86">
        <w:rPr>
          <w:rFonts w:ascii="Times New Roman" w:hAnsi="Times New Roman"/>
        </w:rPr>
        <w:t xml:space="preserve">Uygulamada bir uygunsuzluk tespit edilmişse ve düzeltici faaliyet yapılacaksa, bir tetkikçinin durumu ilgili birime giderek takip etmesi istenir. Yapılan düzeltici faaliyetin uygun olması durumunda </w:t>
      </w:r>
      <w:r w:rsidR="0041316C">
        <w:rPr>
          <w:rFonts w:ascii="Times New Roman" w:hAnsi="Times New Roman"/>
        </w:rPr>
        <w:t>ilgili yönetim sistemi temsilcisi</w:t>
      </w:r>
      <w:r w:rsidRPr="002E6E86">
        <w:rPr>
          <w:rFonts w:ascii="Times New Roman" w:hAnsi="Times New Roman"/>
        </w:rPr>
        <w:t xml:space="preserve"> Uygunsuzluk ve Düzeltici Faaliyet İşlemini kapatır. Kapatılan işleme ait tüm objektif deliller forma eklenerek saklanır.</w:t>
      </w:r>
      <w:r w:rsidR="00043DE2">
        <w:rPr>
          <w:rFonts w:ascii="Times New Roman" w:hAnsi="Times New Roman"/>
        </w:rPr>
        <w:t xml:space="preserve"> </w:t>
      </w:r>
      <w:r w:rsidRPr="002E6E86">
        <w:rPr>
          <w:rFonts w:ascii="Times New Roman" w:hAnsi="Times New Roman"/>
        </w:rPr>
        <w:t xml:space="preserve">Verilen terminlerde düzeltici faaliyet gerçekleşmemişse, ilgili birim ek süre talebinde bulunabilir. Yeni termin belirlenerek takip işlemi yeniden başlatılır. </w:t>
      </w:r>
    </w:p>
    <w:p w14:paraId="4C00599B" w14:textId="77777777" w:rsidR="00312B60" w:rsidRPr="002E6E86" w:rsidRDefault="00312B60" w:rsidP="002E6E86">
      <w:pPr>
        <w:pStyle w:val="ListeParagraf"/>
        <w:spacing w:after="0" w:line="360" w:lineRule="auto"/>
        <w:ind w:left="-567" w:right="-284"/>
        <w:jc w:val="both"/>
        <w:rPr>
          <w:rFonts w:ascii="Times New Roman" w:hAnsi="Times New Roman" w:cs="Times New Roman"/>
        </w:rPr>
      </w:pPr>
    </w:p>
    <w:p w14:paraId="447A70F1" w14:textId="77777777" w:rsidR="00312B60" w:rsidRDefault="00312B60" w:rsidP="002E6E86">
      <w:pPr>
        <w:pStyle w:val="Balk1"/>
        <w:spacing w:after="0" w:line="360" w:lineRule="auto"/>
        <w:ind w:left="-567" w:right="-284"/>
        <w:jc w:val="both"/>
        <w:rPr>
          <w:sz w:val="22"/>
          <w:szCs w:val="22"/>
        </w:rPr>
      </w:pPr>
      <w:r w:rsidRPr="002E6E86">
        <w:rPr>
          <w:sz w:val="22"/>
          <w:szCs w:val="22"/>
        </w:rPr>
        <w:t>6. İLGİLİ DOKÜMANLAR</w:t>
      </w:r>
    </w:p>
    <w:p w14:paraId="284B9B07" w14:textId="77777777" w:rsidR="002E6E86" w:rsidRPr="002E6E86" w:rsidRDefault="002E6E86" w:rsidP="002E6E86">
      <w:pPr>
        <w:pStyle w:val="GvdeMetni"/>
        <w:numPr>
          <w:ilvl w:val="0"/>
          <w:numId w:val="8"/>
        </w:numPr>
        <w:spacing w:line="360" w:lineRule="auto"/>
        <w:ind w:right="-284"/>
        <w:jc w:val="both"/>
        <w:rPr>
          <w:sz w:val="22"/>
          <w:szCs w:val="22"/>
        </w:rPr>
      </w:pPr>
      <w:r w:rsidRPr="002E6E86">
        <w:rPr>
          <w:sz w:val="22"/>
          <w:szCs w:val="22"/>
        </w:rPr>
        <w:t xml:space="preserve">FR-004 </w:t>
      </w:r>
      <w:r w:rsidR="00043DE2">
        <w:rPr>
          <w:sz w:val="22"/>
          <w:szCs w:val="22"/>
        </w:rPr>
        <w:t xml:space="preserve">Uygunsuzluk ve </w:t>
      </w:r>
      <w:r w:rsidRPr="002E6E86">
        <w:rPr>
          <w:sz w:val="22"/>
          <w:szCs w:val="22"/>
        </w:rPr>
        <w:t xml:space="preserve">Düzeltici Faaliyet Formu </w:t>
      </w:r>
    </w:p>
    <w:p w14:paraId="77872E56" w14:textId="77777777" w:rsidR="002E6E86" w:rsidRPr="002E6E86" w:rsidRDefault="002E6E86" w:rsidP="002E6E86">
      <w:pPr>
        <w:pStyle w:val="ListeParagraf"/>
      </w:pPr>
    </w:p>
    <w:p w14:paraId="18098E6F" w14:textId="77777777" w:rsidR="00312B60" w:rsidRDefault="00312B60" w:rsidP="002E6E86">
      <w:pPr>
        <w:pStyle w:val="GvdeMetni"/>
        <w:spacing w:line="360" w:lineRule="auto"/>
        <w:ind w:left="153" w:right="-284"/>
        <w:jc w:val="both"/>
        <w:rPr>
          <w:sz w:val="22"/>
          <w:szCs w:val="22"/>
        </w:rPr>
      </w:pPr>
    </w:p>
    <w:p w14:paraId="41A9EF19" w14:textId="77777777" w:rsidR="002E6E86" w:rsidRDefault="002E6E86" w:rsidP="002E6E86">
      <w:pPr>
        <w:pStyle w:val="GvdeMetni"/>
        <w:spacing w:line="360" w:lineRule="auto"/>
        <w:ind w:left="153" w:right="-284"/>
        <w:jc w:val="both"/>
        <w:rPr>
          <w:sz w:val="22"/>
          <w:szCs w:val="22"/>
        </w:rPr>
      </w:pPr>
    </w:p>
    <w:p w14:paraId="2F466375" w14:textId="77777777" w:rsidR="002E6E86" w:rsidRDefault="002E6E86" w:rsidP="002E6E86">
      <w:pPr>
        <w:pStyle w:val="GvdeMetni"/>
        <w:spacing w:line="360" w:lineRule="auto"/>
        <w:ind w:left="153" w:right="-284"/>
        <w:jc w:val="both"/>
        <w:rPr>
          <w:sz w:val="22"/>
          <w:szCs w:val="22"/>
        </w:rPr>
      </w:pPr>
    </w:p>
    <w:p w14:paraId="3A623D05" w14:textId="77777777" w:rsidR="00043DE2" w:rsidRDefault="00043DE2" w:rsidP="002E6E86">
      <w:pPr>
        <w:pStyle w:val="GvdeMetni"/>
        <w:spacing w:line="360" w:lineRule="auto"/>
        <w:ind w:left="153" w:right="-284"/>
        <w:jc w:val="both"/>
        <w:rPr>
          <w:sz w:val="22"/>
          <w:szCs w:val="22"/>
        </w:rPr>
      </w:pPr>
    </w:p>
    <w:p w14:paraId="65CBC786" w14:textId="77777777" w:rsidR="00043DE2" w:rsidRDefault="00043DE2" w:rsidP="002E6E86">
      <w:pPr>
        <w:pStyle w:val="GvdeMetni"/>
        <w:spacing w:line="360" w:lineRule="auto"/>
        <w:ind w:left="153" w:right="-284"/>
        <w:jc w:val="both"/>
        <w:rPr>
          <w:sz w:val="22"/>
          <w:szCs w:val="22"/>
        </w:rPr>
      </w:pPr>
    </w:p>
    <w:p w14:paraId="55B2504C" w14:textId="77777777" w:rsidR="00043DE2" w:rsidRDefault="00043DE2" w:rsidP="002E6E86">
      <w:pPr>
        <w:pStyle w:val="GvdeMetni"/>
        <w:spacing w:line="360" w:lineRule="auto"/>
        <w:ind w:left="153" w:right="-284"/>
        <w:jc w:val="both"/>
        <w:rPr>
          <w:sz w:val="22"/>
          <w:szCs w:val="22"/>
        </w:rPr>
      </w:pPr>
    </w:p>
    <w:p w14:paraId="34BF4DAD" w14:textId="77777777" w:rsidR="002E6E86" w:rsidRPr="002E6E86" w:rsidRDefault="002E6E86" w:rsidP="002E6E86">
      <w:pPr>
        <w:pStyle w:val="GvdeMetni"/>
        <w:spacing w:line="360" w:lineRule="auto"/>
        <w:ind w:left="153" w:right="-284"/>
        <w:jc w:val="both"/>
        <w:rPr>
          <w:sz w:val="22"/>
          <w:szCs w:val="22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3357"/>
        <w:gridCol w:w="3731"/>
        <w:gridCol w:w="3118"/>
      </w:tblGrid>
      <w:tr w:rsidR="00096AB5" w:rsidRPr="002E6E86" w14:paraId="6C6E54B0" w14:textId="77777777" w:rsidTr="00096AB5">
        <w:tc>
          <w:tcPr>
            <w:tcW w:w="3357" w:type="dxa"/>
            <w:shd w:val="clear" w:color="auto" w:fill="D9D9D9" w:themeFill="background1" w:themeFillShade="D9"/>
          </w:tcPr>
          <w:p w14:paraId="2A13A610" w14:textId="77777777" w:rsidR="00096AB5" w:rsidRPr="002E6E86" w:rsidRDefault="00096AB5" w:rsidP="002E6E86">
            <w:pPr>
              <w:pStyle w:val="AltBilgi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E6E86">
              <w:rPr>
                <w:rFonts w:ascii="Times New Roman" w:hAnsi="Times New Roman"/>
                <w:b/>
                <w:color w:val="000000" w:themeColor="text1"/>
              </w:rPr>
              <w:t>HAZIRLAYAN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4ED680D7" w14:textId="77777777" w:rsidR="00096AB5" w:rsidRPr="002E6E86" w:rsidRDefault="00096AB5" w:rsidP="002E6E86">
            <w:pPr>
              <w:pStyle w:val="AltBilgi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E6E86">
              <w:rPr>
                <w:rFonts w:ascii="Times New Roman" w:hAnsi="Times New Roman"/>
                <w:b/>
                <w:color w:val="000000" w:themeColor="text1"/>
              </w:rPr>
              <w:t>KONTROL EDEN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198775" w14:textId="77777777" w:rsidR="00096AB5" w:rsidRPr="002E6E86" w:rsidRDefault="00096AB5" w:rsidP="002E6E86">
            <w:pPr>
              <w:pStyle w:val="AltBilgi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E6E86">
              <w:rPr>
                <w:rFonts w:ascii="Times New Roman" w:hAnsi="Times New Roman"/>
                <w:b/>
                <w:color w:val="000000" w:themeColor="text1"/>
              </w:rPr>
              <w:t>ONAYLAYAN</w:t>
            </w:r>
          </w:p>
        </w:tc>
      </w:tr>
      <w:tr w:rsidR="00096AB5" w:rsidRPr="002E6E86" w14:paraId="230C154F" w14:textId="77777777" w:rsidTr="00096AB5">
        <w:trPr>
          <w:trHeight w:val="790"/>
        </w:trPr>
        <w:tc>
          <w:tcPr>
            <w:tcW w:w="3357" w:type="dxa"/>
          </w:tcPr>
          <w:p w14:paraId="6FDCF6AE" w14:textId="77777777" w:rsidR="0083364A" w:rsidRDefault="0083364A" w:rsidP="002E6E86">
            <w:pPr>
              <w:pStyle w:val="AltBilg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B3E530" w14:textId="73BE8ABA" w:rsidR="00096AB5" w:rsidRDefault="00142DF7" w:rsidP="002E6E86">
            <w:pPr>
              <w:pStyle w:val="AltBilg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ENERJİ YÖNETİM </w:t>
            </w:r>
            <w:r w:rsidR="00752F61">
              <w:rPr>
                <w:rFonts w:ascii="Times New Roman" w:hAnsi="Times New Roman"/>
                <w:sz w:val="20"/>
                <w:szCs w:val="20"/>
              </w:rPr>
              <w:t>SİSTEMİ</w:t>
            </w:r>
          </w:p>
          <w:p w14:paraId="2852E0DE" w14:textId="5D0C078F" w:rsidR="00752F61" w:rsidRPr="002E6E86" w:rsidRDefault="00752F61" w:rsidP="002E6E86">
            <w:pPr>
              <w:pStyle w:val="AltBilg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DOKÜMANTASYON SORUMLUSU</w:t>
            </w:r>
          </w:p>
          <w:p w14:paraId="136C4904" w14:textId="77777777" w:rsidR="00096AB5" w:rsidRPr="002E6E86" w:rsidRDefault="00096AB5" w:rsidP="002E6E86">
            <w:pPr>
              <w:pStyle w:val="AltBilg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39EB7B" w14:textId="77777777" w:rsidR="00096AB5" w:rsidRPr="002E6E86" w:rsidRDefault="00096AB5" w:rsidP="002E6E86">
            <w:pPr>
              <w:pStyle w:val="AltBilg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1" w:type="dxa"/>
          </w:tcPr>
          <w:p w14:paraId="50C369CC" w14:textId="77777777" w:rsidR="0083364A" w:rsidRDefault="0083364A" w:rsidP="00142DF7">
            <w:pPr>
              <w:pStyle w:val="AltBilg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85F162" w14:textId="0995BEBF" w:rsidR="00142DF7" w:rsidRPr="002E6E86" w:rsidRDefault="0083364A" w:rsidP="00142DF7">
            <w:pPr>
              <w:pStyle w:val="AltBilg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KURUM ENERJİ YÖNETİCİSİ</w:t>
            </w:r>
          </w:p>
          <w:p w14:paraId="79942374" w14:textId="77777777" w:rsidR="00096AB5" w:rsidRPr="002E6E86" w:rsidRDefault="00096AB5" w:rsidP="002E6E86">
            <w:pPr>
              <w:pStyle w:val="AltBilg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4B1C776" w14:textId="77777777" w:rsidR="0083364A" w:rsidRDefault="0083364A" w:rsidP="002E6E86">
            <w:pPr>
              <w:pStyle w:val="AltBilg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211A64" w14:textId="204EE0FC" w:rsidR="00096AB5" w:rsidRPr="002E6E86" w:rsidRDefault="00971A1E" w:rsidP="002E6E86">
            <w:pPr>
              <w:pStyle w:val="AltBilgi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6E86">
              <w:rPr>
                <w:rFonts w:ascii="Times New Roman" w:hAnsi="Times New Roman"/>
                <w:sz w:val="20"/>
                <w:szCs w:val="20"/>
              </w:rPr>
              <w:t>KURUM YETKİLİ</w:t>
            </w:r>
            <w:r w:rsidR="0083364A">
              <w:rPr>
                <w:rFonts w:ascii="Times New Roman" w:hAnsi="Times New Roman"/>
                <w:sz w:val="20"/>
                <w:szCs w:val="20"/>
              </w:rPr>
              <w:t>Sİ</w:t>
            </w:r>
          </w:p>
          <w:p w14:paraId="67FE54E7" w14:textId="77777777" w:rsidR="00096AB5" w:rsidRPr="002E6E86" w:rsidRDefault="00096AB5" w:rsidP="002E6E86">
            <w:pPr>
              <w:pStyle w:val="AltBilg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19A470D" w14:textId="77777777" w:rsidR="00096AB5" w:rsidRPr="002E6E86" w:rsidRDefault="00096AB5" w:rsidP="002E6E86">
      <w:pPr>
        <w:spacing w:line="360" w:lineRule="auto"/>
        <w:ind w:right="-426"/>
        <w:jc w:val="both"/>
        <w:rPr>
          <w:rFonts w:ascii="Times New Roman" w:hAnsi="Times New Roman"/>
          <w:color w:val="C00000"/>
        </w:rPr>
      </w:pPr>
    </w:p>
    <w:sectPr w:rsidR="00096AB5" w:rsidRPr="002E6E86" w:rsidSect="00C919D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60" w:right="1417" w:bottom="1276" w:left="1417" w:header="426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C123C" w14:textId="77777777" w:rsidR="00C919DA" w:rsidRDefault="00C919DA" w:rsidP="000474E5">
      <w:pPr>
        <w:spacing w:after="0" w:line="240" w:lineRule="auto"/>
      </w:pPr>
      <w:r>
        <w:separator/>
      </w:r>
    </w:p>
  </w:endnote>
  <w:endnote w:type="continuationSeparator" w:id="0">
    <w:p w14:paraId="42B4C46C" w14:textId="77777777" w:rsidR="00C919DA" w:rsidRDefault="00C919DA" w:rsidP="0004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D0657" w14:textId="77777777" w:rsidR="00AE6EF1" w:rsidRDefault="00AE6EF1" w:rsidP="00AE6EF1">
    <w:pPr>
      <w:pStyle w:val="AltBilgi"/>
      <w:rPr>
        <w:b/>
        <w:sz w:val="18"/>
        <w:szCs w:val="18"/>
      </w:rPr>
    </w:pPr>
  </w:p>
  <w:p w14:paraId="7FDE3F31" w14:textId="77777777" w:rsidR="00B50D87" w:rsidRPr="005F20F6" w:rsidRDefault="00B50D87" w:rsidP="00B50D87">
    <w:pPr>
      <w:pStyle w:val="AltBilgi"/>
      <w:jc w:val="center"/>
      <w:rPr>
        <w:sz w:val="20"/>
        <w:szCs w:val="20"/>
      </w:rPr>
    </w:pPr>
    <w:bookmarkStart w:id="1" w:name="_Hlk149897312"/>
    <w:r w:rsidRPr="009C2C9B">
      <w:rPr>
        <w:sz w:val="20"/>
        <w:szCs w:val="20"/>
        <w:shd w:val="clear" w:color="auto" w:fill="FFFFFF"/>
      </w:rPr>
      <w:t>Selçuk Üniversitesi Rektörlüğü, Alaeddin Keykubat Yerleşkesi, Akademi Mah. Yeni İstanbul Cad. No:369 Posta Kodu:42130 Selçuklu-Konya / TÜRKİYE</w:t>
    </w:r>
    <w:r w:rsidRPr="005F20F6">
      <w:rPr>
        <w:sz w:val="20"/>
        <w:szCs w:val="20"/>
      </w:rPr>
      <w:t xml:space="preserve"> </w:t>
    </w:r>
    <w:proofErr w:type="gramStart"/>
    <w:r w:rsidRPr="005F20F6">
      <w:rPr>
        <w:sz w:val="20"/>
        <w:szCs w:val="20"/>
      </w:rPr>
      <w:t>T.(</w:t>
    </w:r>
    <w:proofErr w:type="gramEnd"/>
    <w:r w:rsidRPr="005F20F6">
      <w:rPr>
        <w:sz w:val="20"/>
        <w:szCs w:val="20"/>
      </w:rPr>
      <w:t xml:space="preserve">0332) 241 00 41 F.(0332) 223 82 65 </w:t>
    </w:r>
    <w:hyperlink r:id="rId1" w:history="1">
      <w:r w:rsidRPr="005F20F6">
        <w:rPr>
          <w:rStyle w:val="Kpr"/>
          <w:sz w:val="20"/>
          <w:szCs w:val="20"/>
        </w:rPr>
        <w:t>iletisim@selcuk.edu.tr</w:t>
      </w:r>
    </w:hyperlink>
    <w:r w:rsidRPr="005F20F6">
      <w:rPr>
        <w:sz w:val="20"/>
        <w:szCs w:val="20"/>
      </w:rPr>
      <w:t xml:space="preserve"> </w:t>
    </w:r>
    <w:r w:rsidRPr="005F20F6">
      <w:rPr>
        <w:b/>
        <w:sz w:val="20"/>
        <w:szCs w:val="20"/>
      </w:rPr>
      <w:t>www.selcuk.edu.tr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AF0AB" w14:textId="77777777" w:rsidR="00C919DA" w:rsidRDefault="00C919DA" w:rsidP="000474E5">
      <w:pPr>
        <w:spacing w:after="0" w:line="240" w:lineRule="auto"/>
      </w:pPr>
      <w:r>
        <w:separator/>
      </w:r>
    </w:p>
  </w:footnote>
  <w:footnote w:type="continuationSeparator" w:id="0">
    <w:p w14:paraId="10D30698" w14:textId="77777777" w:rsidR="00C919DA" w:rsidRDefault="00C919DA" w:rsidP="000474E5">
      <w:pPr>
        <w:spacing w:after="0" w:line="240" w:lineRule="auto"/>
      </w:pPr>
      <w:r>
        <w:continuationSeparator/>
      </w:r>
    </w:p>
  </w:footnote>
  <w:footnote w:id="1">
    <w:p w14:paraId="01B347E4" w14:textId="77777777" w:rsidR="00312B60" w:rsidRDefault="00312B60" w:rsidP="00312B60">
      <w:pPr>
        <w:pStyle w:val="DipnotMetni"/>
      </w:pPr>
      <w:r>
        <w:rPr>
          <w:rStyle w:val="DipnotBavurusu"/>
        </w:rPr>
        <w:footnoteRef/>
      </w:r>
      <w:r>
        <w:t xml:space="preserve"> İç Tetkik Kılavuzunda Kök Neden Analizi ayrı bir bölüm olarak anlatılmaktadır.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58B88" w14:textId="77777777" w:rsidR="000474E5" w:rsidRDefault="00000000">
    <w:pPr>
      <w:pStyle w:val="stBilgi"/>
    </w:pPr>
    <w:r>
      <w:rPr>
        <w:noProof/>
        <w:lang w:eastAsia="tr-TR"/>
      </w:rPr>
      <w:pict w14:anchorId="6CE6C6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5060829" o:spid="_x0000_s1041" type="#_x0000_t75" style="position:absolute;margin-left:0;margin-top:0;width:595.35pt;height:842.1pt;z-index:-251656704;mso-position-horizontal:center;mso-position-horizontal-relative:margin;mso-position-vertical:center;mso-position-vertical-relative:margin" o:allowincell="f">
          <v:imagedata r:id="rId1" o:title="Antetli Kağıt T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916" w:type="dxa"/>
      <w:tblInd w:w="-856" w:type="dxa"/>
      <w:tblLook w:val="04A0" w:firstRow="1" w:lastRow="0" w:firstColumn="1" w:lastColumn="0" w:noHBand="0" w:noVBand="1"/>
    </w:tblPr>
    <w:tblGrid>
      <w:gridCol w:w="2269"/>
      <w:gridCol w:w="2410"/>
      <w:gridCol w:w="1701"/>
      <w:gridCol w:w="2976"/>
      <w:gridCol w:w="1560"/>
    </w:tblGrid>
    <w:tr w:rsidR="009622E3" w:rsidRPr="00054418" w14:paraId="0F3A07CD" w14:textId="77777777" w:rsidTr="00043DE2">
      <w:trPr>
        <w:trHeight w:val="1340"/>
      </w:trPr>
      <w:tc>
        <w:tcPr>
          <w:tcW w:w="2269" w:type="dxa"/>
        </w:tcPr>
        <w:bookmarkStart w:id="0" w:name="kurum_logo"/>
        <w:bookmarkEnd w:id="0"/>
        <w:p w14:paraId="2AFA32F0" w14:textId="3B646225" w:rsidR="009622E3" w:rsidRPr="00054418" w:rsidRDefault="00537701" w:rsidP="009622E3">
          <w:pPr>
            <w:pStyle w:val="stBilgi"/>
            <w:jc w:val="center"/>
            <w:rPr>
              <w:rFonts w:cstheme="minorHAnsi"/>
              <w:b/>
            </w:rPr>
          </w:pPr>
          <w:r>
            <w:object w:dxaOrig="3000" w:dyaOrig="3000" w14:anchorId="264B8CC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>
                <v:imagedata r:id="rId1" o:title=""/>
              </v:shape>
              <o:OLEObject Type="Embed" ProgID="PBrush" ShapeID="_x0000_i1025" DrawAspect="Content" ObjectID="_1772282235" r:id="rId2"/>
            </w:object>
          </w:r>
        </w:p>
      </w:tc>
      <w:tc>
        <w:tcPr>
          <w:tcW w:w="8647" w:type="dxa"/>
          <w:gridSpan w:val="4"/>
          <w:shd w:val="clear" w:color="auto" w:fill="D9D9D9" w:themeFill="background1" w:themeFillShade="D9"/>
        </w:tcPr>
        <w:p w14:paraId="5B80E90B" w14:textId="77777777" w:rsidR="009622E3" w:rsidRDefault="009622E3" w:rsidP="009622E3">
          <w:pPr>
            <w:pStyle w:val="stBilgi"/>
            <w:jc w:val="center"/>
            <w:rPr>
              <w:rFonts w:cstheme="minorHAnsi"/>
              <w:b/>
            </w:rPr>
          </w:pPr>
        </w:p>
        <w:p w14:paraId="7B792C40" w14:textId="77777777" w:rsidR="009622E3" w:rsidRPr="00054418" w:rsidRDefault="009622E3" w:rsidP="009622E3">
          <w:pPr>
            <w:pStyle w:val="stBilgi"/>
            <w:jc w:val="center"/>
            <w:rPr>
              <w:rFonts w:cstheme="minorHAnsi"/>
              <w:b/>
            </w:rPr>
          </w:pPr>
          <w:r>
            <w:rPr>
              <w:rFonts w:cstheme="minorHAnsi"/>
              <w:b/>
            </w:rPr>
            <w:t>T.C</w:t>
          </w:r>
        </w:p>
        <w:p w14:paraId="72A38A9C" w14:textId="28108B2D" w:rsidR="009622E3" w:rsidRDefault="00537701" w:rsidP="009622E3">
          <w:pPr>
            <w:pStyle w:val="stBilgi"/>
            <w:tabs>
              <w:tab w:val="left" w:pos="840"/>
              <w:tab w:val="center" w:pos="3290"/>
            </w:tabs>
            <w:jc w:val="center"/>
            <w:rPr>
              <w:rFonts w:cstheme="minorHAnsi"/>
              <w:b/>
              <w:noProof/>
            </w:rPr>
          </w:pPr>
          <w:r>
            <w:rPr>
              <w:rFonts w:cstheme="minorHAnsi"/>
              <w:b/>
              <w:noProof/>
            </w:rPr>
            <w:t>SELÇUK</w:t>
          </w:r>
          <w:r w:rsidR="009622E3" w:rsidRPr="00054418">
            <w:rPr>
              <w:rFonts w:cstheme="minorHAnsi"/>
              <w:b/>
              <w:noProof/>
            </w:rPr>
            <w:t xml:space="preserve"> </w:t>
          </w:r>
          <w:r w:rsidR="009622E3">
            <w:rPr>
              <w:rFonts w:cstheme="minorHAnsi"/>
              <w:b/>
              <w:noProof/>
            </w:rPr>
            <w:t xml:space="preserve"> </w:t>
          </w:r>
          <w:r w:rsidR="009622E3" w:rsidRPr="00054418">
            <w:rPr>
              <w:rFonts w:cstheme="minorHAnsi"/>
              <w:b/>
              <w:noProof/>
            </w:rPr>
            <w:t>ÜNİVERSİTESİ</w:t>
          </w:r>
        </w:p>
        <w:p w14:paraId="07096A27" w14:textId="77777777" w:rsidR="009622E3" w:rsidRPr="00054418" w:rsidRDefault="00043DE2" w:rsidP="00FF7AEE">
          <w:pPr>
            <w:pStyle w:val="stBilgi"/>
            <w:tabs>
              <w:tab w:val="left" w:pos="840"/>
              <w:tab w:val="center" w:pos="3290"/>
            </w:tabs>
            <w:jc w:val="center"/>
            <w:rPr>
              <w:rFonts w:cstheme="minorHAnsi"/>
              <w:b/>
            </w:rPr>
          </w:pPr>
          <w:r>
            <w:rPr>
              <w:rFonts w:cstheme="minorHAnsi"/>
              <w:b/>
            </w:rPr>
            <w:t>UYGUNSUZLUK VE DÜZELTİC</w:t>
          </w:r>
          <w:r w:rsidR="00312B60">
            <w:rPr>
              <w:rFonts w:cstheme="minorHAnsi"/>
              <w:b/>
            </w:rPr>
            <w:t>İ FAALİYET PROSEDÜRÜ</w:t>
          </w:r>
        </w:p>
      </w:tc>
    </w:tr>
    <w:tr w:rsidR="00096AB5" w:rsidRPr="00054418" w14:paraId="428A94F7" w14:textId="77777777" w:rsidTr="00043DE2">
      <w:trPr>
        <w:trHeight w:val="335"/>
      </w:trPr>
      <w:tc>
        <w:tcPr>
          <w:tcW w:w="2269" w:type="dxa"/>
        </w:tcPr>
        <w:p w14:paraId="404A0EB3" w14:textId="77777777" w:rsidR="00096AB5" w:rsidRPr="00096AB5" w:rsidRDefault="00096AB5" w:rsidP="00FF7AEE">
          <w:pPr>
            <w:pStyle w:val="stBilgi"/>
            <w:rPr>
              <w:rFonts w:cstheme="minorHAnsi"/>
              <w:b/>
              <w:sz w:val="20"/>
              <w:szCs w:val="20"/>
            </w:rPr>
          </w:pPr>
          <w:r w:rsidRPr="00096AB5">
            <w:rPr>
              <w:rFonts w:cstheme="minorHAnsi"/>
              <w:b/>
              <w:sz w:val="20"/>
              <w:szCs w:val="20"/>
            </w:rPr>
            <w:t xml:space="preserve">DOKÜMAN NO: </w:t>
          </w:r>
          <w:r w:rsidR="00312B60">
            <w:rPr>
              <w:rFonts w:cstheme="minorHAnsi"/>
              <w:b/>
              <w:sz w:val="20"/>
              <w:szCs w:val="20"/>
            </w:rPr>
            <w:t>PR-004</w:t>
          </w:r>
        </w:p>
      </w:tc>
      <w:tc>
        <w:tcPr>
          <w:tcW w:w="2410" w:type="dxa"/>
        </w:tcPr>
        <w:p w14:paraId="7422D0F3" w14:textId="7A2CCB49" w:rsidR="00096AB5" w:rsidRPr="00096AB5" w:rsidRDefault="00096AB5" w:rsidP="00595AB2">
          <w:pPr>
            <w:pStyle w:val="stBilgi"/>
            <w:rPr>
              <w:rFonts w:cstheme="minorHAnsi"/>
              <w:b/>
              <w:noProof/>
              <w:sz w:val="20"/>
              <w:szCs w:val="20"/>
            </w:rPr>
          </w:pPr>
          <w:r w:rsidRPr="00096AB5">
            <w:rPr>
              <w:rFonts w:cstheme="minorHAnsi"/>
              <w:b/>
              <w:sz w:val="20"/>
              <w:szCs w:val="20"/>
            </w:rPr>
            <w:t>YAYIN TARİHİ:</w:t>
          </w:r>
          <w:r w:rsidR="00444F2E">
            <w:rPr>
              <w:rFonts w:cstheme="minorHAnsi"/>
              <w:b/>
              <w:sz w:val="20"/>
              <w:szCs w:val="20"/>
            </w:rPr>
            <w:t>10.11.2023</w:t>
          </w:r>
        </w:p>
      </w:tc>
      <w:tc>
        <w:tcPr>
          <w:tcW w:w="1701" w:type="dxa"/>
        </w:tcPr>
        <w:p w14:paraId="76B6F801" w14:textId="75B5D03E" w:rsidR="00096AB5" w:rsidRPr="00096AB5" w:rsidRDefault="00096AB5" w:rsidP="00043DE2">
          <w:pPr>
            <w:pStyle w:val="stBilgi"/>
            <w:rPr>
              <w:rFonts w:cstheme="minorHAnsi"/>
              <w:b/>
              <w:sz w:val="20"/>
              <w:szCs w:val="20"/>
            </w:rPr>
          </w:pPr>
          <w:r w:rsidRPr="00096AB5">
            <w:rPr>
              <w:rFonts w:cstheme="minorHAnsi"/>
              <w:b/>
              <w:sz w:val="20"/>
              <w:szCs w:val="20"/>
            </w:rPr>
            <w:t xml:space="preserve">REVİZYON NO: </w:t>
          </w:r>
          <w:r w:rsidR="00312B60">
            <w:rPr>
              <w:rFonts w:cstheme="minorHAnsi"/>
              <w:b/>
              <w:sz w:val="20"/>
              <w:szCs w:val="20"/>
            </w:rPr>
            <w:t>0</w:t>
          </w:r>
          <w:r w:rsidR="00444F2E">
            <w:rPr>
              <w:rFonts w:cstheme="minorHAnsi"/>
              <w:b/>
              <w:sz w:val="20"/>
              <w:szCs w:val="20"/>
            </w:rPr>
            <w:t>0</w:t>
          </w:r>
        </w:p>
      </w:tc>
      <w:tc>
        <w:tcPr>
          <w:tcW w:w="2976" w:type="dxa"/>
        </w:tcPr>
        <w:p w14:paraId="645536C5" w14:textId="3B99F772" w:rsidR="00096AB5" w:rsidRPr="00096AB5" w:rsidRDefault="00096AB5" w:rsidP="0041316C">
          <w:pPr>
            <w:pStyle w:val="stBilgi"/>
            <w:rPr>
              <w:rFonts w:cstheme="minorHAnsi"/>
              <w:b/>
              <w:sz w:val="20"/>
              <w:szCs w:val="20"/>
            </w:rPr>
          </w:pPr>
          <w:r w:rsidRPr="00096AB5">
            <w:rPr>
              <w:rFonts w:cstheme="minorHAnsi"/>
              <w:b/>
              <w:sz w:val="20"/>
              <w:szCs w:val="20"/>
            </w:rPr>
            <w:t>REVİZYON TARİHİ:</w:t>
          </w:r>
        </w:p>
      </w:tc>
      <w:tc>
        <w:tcPr>
          <w:tcW w:w="1560" w:type="dxa"/>
        </w:tcPr>
        <w:p w14:paraId="34231FE0" w14:textId="77777777" w:rsidR="00096AB5" w:rsidRPr="00096AB5" w:rsidRDefault="00096AB5" w:rsidP="00096AB5">
          <w:pPr>
            <w:pStyle w:val="stBilgi"/>
            <w:rPr>
              <w:rFonts w:cstheme="minorHAnsi"/>
              <w:b/>
              <w:sz w:val="20"/>
              <w:szCs w:val="20"/>
            </w:rPr>
          </w:pPr>
          <w:r w:rsidRPr="00096AB5">
            <w:rPr>
              <w:rFonts w:cstheme="minorHAnsi"/>
              <w:b/>
              <w:sz w:val="20"/>
              <w:szCs w:val="20"/>
            </w:rPr>
            <w:t>SAYFA NO</w:t>
          </w:r>
          <w:r>
            <w:rPr>
              <w:rFonts w:cstheme="minorHAnsi"/>
              <w:b/>
              <w:sz w:val="20"/>
              <w:szCs w:val="20"/>
            </w:rPr>
            <w:t xml:space="preserve"> </w:t>
          </w:r>
          <w:r w:rsidRPr="00096AB5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096AB5">
            <w:rPr>
              <w:rFonts w:cstheme="minorHAnsi"/>
              <w:b/>
              <w:bCs/>
              <w:sz w:val="20"/>
              <w:szCs w:val="20"/>
            </w:rPr>
            <w:instrText>PAGE  \* Arabic  \* MERGEFORMAT</w:instrText>
          </w:r>
          <w:r w:rsidRPr="00096AB5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7E4147">
            <w:rPr>
              <w:rFonts w:cstheme="minorHAnsi"/>
              <w:b/>
              <w:bCs/>
              <w:noProof/>
              <w:sz w:val="20"/>
              <w:szCs w:val="20"/>
            </w:rPr>
            <w:t>2</w:t>
          </w:r>
          <w:r w:rsidRPr="00096AB5">
            <w:rPr>
              <w:rFonts w:cstheme="minorHAnsi"/>
              <w:b/>
              <w:bCs/>
              <w:sz w:val="20"/>
              <w:szCs w:val="20"/>
            </w:rPr>
            <w:fldChar w:fldCharType="end"/>
          </w:r>
          <w:r w:rsidRPr="00096AB5">
            <w:rPr>
              <w:rFonts w:cstheme="minorHAnsi"/>
              <w:b/>
              <w:sz w:val="20"/>
              <w:szCs w:val="20"/>
            </w:rPr>
            <w:t xml:space="preserve"> / </w:t>
          </w:r>
          <w:r w:rsidRPr="00096AB5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096AB5">
            <w:rPr>
              <w:rFonts w:cstheme="minorHAnsi"/>
              <w:b/>
              <w:bCs/>
              <w:sz w:val="20"/>
              <w:szCs w:val="20"/>
            </w:rPr>
            <w:instrText>NUMPAGES  \* Arabic  \* MERGEFORMAT</w:instrText>
          </w:r>
          <w:r w:rsidRPr="00096AB5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7E4147">
            <w:rPr>
              <w:rFonts w:cstheme="minorHAnsi"/>
              <w:b/>
              <w:bCs/>
              <w:noProof/>
              <w:sz w:val="20"/>
              <w:szCs w:val="20"/>
            </w:rPr>
            <w:t>2</w:t>
          </w:r>
          <w:r w:rsidRPr="00096AB5">
            <w:rPr>
              <w:rFonts w:cstheme="minorHAnsi"/>
              <w:b/>
              <w:bCs/>
              <w:sz w:val="20"/>
              <w:szCs w:val="20"/>
            </w:rPr>
            <w:fldChar w:fldCharType="end"/>
          </w:r>
        </w:p>
      </w:tc>
    </w:tr>
  </w:tbl>
  <w:p w14:paraId="5981913C" w14:textId="77777777" w:rsidR="000474E5" w:rsidRPr="00A93411" w:rsidRDefault="000474E5" w:rsidP="009622E3">
    <w:pPr>
      <w:pStyle w:val="stBilgi"/>
      <w:jc w:val="center"/>
      <w:rPr>
        <w:rFonts w:asciiTheme="minorHAnsi" w:hAnsiTheme="minorHAnsi" w:cstheme="minorHAnsi"/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53B25" w14:textId="77777777" w:rsidR="000474E5" w:rsidRDefault="00000000">
    <w:pPr>
      <w:pStyle w:val="stBilgi"/>
    </w:pPr>
    <w:r>
      <w:rPr>
        <w:noProof/>
        <w:lang w:eastAsia="tr-TR"/>
      </w:rPr>
      <w:pict w14:anchorId="338AE1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5060828" o:spid="_x0000_s1040" type="#_x0000_t75" style="position:absolute;margin-left:0;margin-top:0;width:595.35pt;height:842.1pt;z-index:-251657728;mso-position-horizontal:center;mso-position-horizontal-relative:margin;mso-position-vertical:center;mso-position-vertical-relative:margin" o:allowincell="f">
          <v:imagedata r:id="rId1" o:title="Antetli Kağıt T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74557"/>
    <w:multiLevelType w:val="hybridMultilevel"/>
    <w:tmpl w:val="A4FAB5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3122C"/>
    <w:multiLevelType w:val="hybridMultilevel"/>
    <w:tmpl w:val="906E6B60"/>
    <w:lvl w:ilvl="0" w:tplc="A33252BC">
      <w:start w:val="1"/>
      <w:numFmt w:val="decimal"/>
      <w:lvlText w:val="5.2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50966"/>
    <w:multiLevelType w:val="hybridMultilevel"/>
    <w:tmpl w:val="9A843F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4775D"/>
    <w:multiLevelType w:val="hybridMultilevel"/>
    <w:tmpl w:val="A4921162"/>
    <w:lvl w:ilvl="0" w:tplc="52B8DB98">
      <w:start w:val="1"/>
      <w:numFmt w:val="decimal"/>
      <w:lvlText w:val="5.1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4355D"/>
    <w:multiLevelType w:val="hybridMultilevel"/>
    <w:tmpl w:val="C61A7F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9117C"/>
    <w:multiLevelType w:val="hybridMultilevel"/>
    <w:tmpl w:val="C8D87AB4"/>
    <w:lvl w:ilvl="0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7B0E1950"/>
    <w:multiLevelType w:val="hybridMultilevel"/>
    <w:tmpl w:val="B4640062"/>
    <w:lvl w:ilvl="0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143812448">
    <w:abstractNumId w:val="3"/>
  </w:num>
  <w:num w:numId="2" w16cid:durableId="357313373">
    <w:abstractNumId w:val="7"/>
  </w:num>
  <w:num w:numId="3" w16cid:durableId="300690274">
    <w:abstractNumId w:val="4"/>
  </w:num>
  <w:num w:numId="4" w16cid:durableId="75632887">
    <w:abstractNumId w:val="1"/>
  </w:num>
  <w:num w:numId="5" w16cid:durableId="628702956">
    <w:abstractNumId w:val="5"/>
  </w:num>
  <w:num w:numId="6" w16cid:durableId="581917136">
    <w:abstractNumId w:val="2"/>
  </w:num>
  <w:num w:numId="7" w16cid:durableId="324432347">
    <w:abstractNumId w:val="6"/>
  </w:num>
  <w:num w:numId="8" w16cid:durableId="194773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4E5"/>
    <w:rsid w:val="00021439"/>
    <w:rsid w:val="00043DE2"/>
    <w:rsid w:val="000474E5"/>
    <w:rsid w:val="000616D6"/>
    <w:rsid w:val="00096AB5"/>
    <w:rsid w:val="000B10EB"/>
    <w:rsid w:val="001153D9"/>
    <w:rsid w:val="00120D5A"/>
    <w:rsid w:val="00142DF7"/>
    <w:rsid w:val="0014447C"/>
    <w:rsid w:val="0016290E"/>
    <w:rsid w:val="00177C76"/>
    <w:rsid w:val="001810F8"/>
    <w:rsid w:val="001859B7"/>
    <w:rsid w:val="001C3703"/>
    <w:rsid w:val="001D1862"/>
    <w:rsid w:val="00201959"/>
    <w:rsid w:val="00241A9D"/>
    <w:rsid w:val="0026637B"/>
    <w:rsid w:val="00286B50"/>
    <w:rsid w:val="002B402D"/>
    <w:rsid w:val="002D3D09"/>
    <w:rsid w:val="002E6E86"/>
    <w:rsid w:val="002F0B70"/>
    <w:rsid w:val="00302593"/>
    <w:rsid w:val="00312B60"/>
    <w:rsid w:val="00326F95"/>
    <w:rsid w:val="00333E10"/>
    <w:rsid w:val="003D59B6"/>
    <w:rsid w:val="0041316C"/>
    <w:rsid w:val="0043405C"/>
    <w:rsid w:val="00444F2E"/>
    <w:rsid w:val="00456870"/>
    <w:rsid w:val="0047748C"/>
    <w:rsid w:val="00493D43"/>
    <w:rsid w:val="004F7CC6"/>
    <w:rsid w:val="00537701"/>
    <w:rsid w:val="00545201"/>
    <w:rsid w:val="00581AE5"/>
    <w:rsid w:val="0059490F"/>
    <w:rsid w:val="00595AB2"/>
    <w:rsid w:val="005C395F"/>
    <w:rsid w:val="005C4887"/>
    <w:rsid w:val="00640E86"/>
    <w:rsid w:val="00713359"/>
    <w:rsid w:val="00741F36"/>
    <w:rsid w:val="00744EA1"/>
    <w:rsid w:val="00752F61"/>
    <w:rsid w:val="00794D1D"/>
    <w:rsid w:val="007E0EEC"/>
    <w:rsid w:val="007E4147"/>
    <w:rsid w:val="007E5C87"/>
    <w:rsid w:val="0083364A"/>
    <w:rsid w:val="00866F1A"/>
    <w:rsid w:val="0087530C"/>
    <w:rsid w:val="008955E9"/>
    <w:rsid w:val="008A13C0"/>
    <w:rsid w:val="009054EE"/>
    <w:rsid w:val="009622E3"/>
    <w:rsid w:val="00971A1E"/>
    <w:rsid w:val="009D5B25"/>
    <w:rsid w:val="00A905DF"/>
    <w:rsid w:val="00A93411"/>
    <w:rsid w:val="00AE6EF1"/>
    <w:rsid w:val="00B50D87"/>
    <w:rsid w:val="00B66666"/>
    <w:rsid w:val="00B83531"/>
    <w:rsid w:val="00BB1FBB"/>
    <w:rsid w:val="00BE6CCE"/>
    <w:rsid w:val="00C105B7"/>
    <w:rsid w:val="00C919DA"/>
    <w:rsid w:val="00CC61B3"/>
    <w:rsid w:val="00D11878"/>
    <w:rsid w:val="00E50661"/>
    <w:rsid w:val="00E8368F"/>
    <w:rsid w:val="00ED471B"/>
    <w:rsid w:val="00EE107D"/>
    <w:rsid w:val="00EE764F"/>
    <w:rsid w:val="00F504C3"/>
    <w:rsid w:val="00FA2D60"/>
    <w:rsid w:val="00FB16E1"/>
    <w:rsid w:val="00FE2107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F50D7"/>
  <w15:docId w15:val="{A8881F64-1E38-4FFC-B398-E473E2EE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93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9"/>
    <w:qFormat/>
    <w:rsid w:val="00302593"/>
    <w:pPr>
      <w:keepNext/>
      <w:spacing w:after="12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302593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</w:rPr>
  </w:style>
  <w:style w:type="paragraph" w:styleId="Balk3">
    <w:name w:val="heading 3"/>
    <w:basedOn w:val="Normal"/>
    <w:next w:val="Normal"/>
    <w:link w:val="Balk3Char"/>
    <w:uiPriority w:val="99"/>
    <w:qFormat/>
    <w:rsid w:val="00302593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74E5"/>
  </w:style>
  <w:style w:type="paragraph" w:styleId="AltBilgi">
    <w:name w:val="footer"/>
    <w:basedOn w:val="Normal"/>
    <w:link w:val="AltBilgiChar"/>
    <w:uiPriority w:val="99"/>
    <w:unhideWhenUsed/>
    <w:rsid w:val="0004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74E5"/>
  </w:style>
  <w:style w:type="paragraph" w:styleId="NormalWeb">
    <w:name w:val="Normal (Web)"/>
    <w:basedOn w:val="Normal"/>
    <w:uiPriority w:val="99"/>
    <w:semiHidden/>
    <w:unhideWhenUsed/>
    <w:rsid w:val="000474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FE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01959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9"/>
    <w:rsid w:val="00302593"/>
    <w:rPr>
      <w:rFonts w:ascii="Times New Roman" w:eastAsia="Calibri" w:hAnsi="Times New Roman" w:cs="Times New Roman"/>
      <w:b/>
      <w:sz w:val="24"/>
      <w:szCs w:val="20"/>
    </w:rPr>
  </w:style>
  <w:style w:type="character" w:customStyle="1" w:styleId="Balk2Char">
    <w:name w:val="Başlık 2 Char"/>
    <w:basedOn w:val="VarsaylanParagrafYazTipi"/>
    <w:link w:val="Balk2"/>
    <w:uiPriority w:val="99"/>
    <w:rsid w:val="00302593"/>
    <w:rPr>
      <w:rFonts w:ascii="Arial" w:eastAsia="Calibri" w:hAnsi="Arial" w:cs="Times New Roman"/>
      <w:b/>
      <w:i/>
      <w:sz w:val="28"/>
      <w:szCs w:val="20"/>
    </w:rPr>
  </w:style>
  <w:style w:type="character" w:customStyle="1" w:styleId="Balk3Char">
    <w:name w:val="Başlık 3 Char"/>
    <w:basedOn w:val="VarsaylanParagrafYazTipi"/>
    <w:link w:val="Balk3"/>
    <w:uiPriority w:val="99"/>
    <w:rsid w:val="00302593"/>
    <w:rPr>
      <w:rFonts w:ascii="Cambria" w:eastAsia="Calibri" w:hAnsi="Cambria" w:cs="Times New Roman"/>
      <w:b/>
      <w:sz w:val="26"/>
      <w:szCs w:val="20"/>
    </w:rPr>
  </w:style>
  <w:style w:type="paragraph" w:styleId="GvdeMetni">
    <w:name w:val="Body Text"/>
    <w:basedOn w:val="Normal"/>
    <w:link w:val="GvdeMetniChar"/>
    <w:uiPriority w:val="99"/>
    <w:rsid w:val="00302593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2593"/>
    <w:rPr>
      <w:rFonts w:ascii="Times New Roman" w:eastAsia="Calibri" w:hAnsi="Times New Roman" w:cs="Times New Roman"/>
      <w:sz w:val="28"/>
      <w:szCs w:val="20"/>
    </w:rPr>
  </w:style>
  <w:style w:type="character" w:customStyle="1" w:styleId="FontStyle15">
    <w:name w:val="Font Style15"/>
    <w:basedOn w:val="VarsaylanParagrafYazTipi"/>
    <w:rsid w:val="004F7CC6"/>
    <w:rPr>
      <w:rFonts w:ascii="Arial" w:hAnsi="Arial" w:cs="Arial"/>
      <w:sz w:val="16"/>
      <w:szCs w:val="16"/>
    </w:rPr>
  </w:style>
  <w:style w:type="character" w:customStyle="1" w:styleId="FontStyle16">
    <w:name w:val="Font Style16"/>
    <w:basedOn w:val="VarsaylanParagrafYazTipi"/>
    <w:rsid w:val="004F7CC6"/>
    <w:rPr>
      <w:rFonts w:ascii="Arial" w:hAnsi="Arial" w:cs="Arial"/>
      <w:b/>
      <w:bCs/>
      <w:sz w:val="16"/>
      <w:szCs w:val="16"/>
    </w:rPr>
  </w:style>
  <w:style w:type="character" w:customStyle="1" w:styleId="FontStyle12">
    <w:name w:val="Font Style12"/>
    <w:basedOn w:val="VarsaylanParagrafYazTipi"/>
    <w:rsid w:val="004F7CC6"/>
    <w:rPr>
      <w:rFonts w:ascii="Microsoft Sans Serif" w:hAnsi="Microsoft Sans Serif" w:cs="Microsoft Sans Serif"/>
      <w:sz w:val="20"/>
      <w:szCs w:val="20"/>
    </w:rPr>
  </w:style>
  <w:style w:type="paragraph" w:styleId="ListeParagraf">
    <w:name w:val="List Paragraph"/>
    <w:basedOn w:val="Normal"/>
    <w:uiPriority w:val="34"/>
    <w:qFormat/>
    <w:rsid w:val="009622E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12B6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12B60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12B60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2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2B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letisim@selcuk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95D5F-DFA8-491D-847B-ADB889AE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Ekofen</dc:creator>
  <cp:lastModifiedBy>ali ceviz</cp:lastModifiedBy>
  <cp:revision>39</cp:revision>
  <cp:lastPrinted>2024-03-18T12:50:00Z</cp:lastPrinted>
  <dcterms:created xsi:type="dcterms:W3CDTF">2021-08-16T11:10:00Z</dcterms:created>
  <dcterms:modified xsi:type="dcterms:W3CDTF">2024-03-18T12:50:00Z</dcterms:modified>
</cp:coreProperties>
</file>